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06F" w:rsidRPr="0001187E" w:rsidRDefault="0018406F" w:rsidP="00B17A1D">
      <w:pPr>
        <w:spacing w:after="0" w:line="240" w:lineRule="auto"/>
        <w:rPr>
          <w:rFonts w:ascii="Arial" w:eastAsia="Times New Roman" w:hAnsi="Arial" w:cs="Arial"/>
          <w:sz w:val="24"/>
          <w:szCs w:val="24"/>
        </w:rPr>
      </w:pPr>
      <w:r w:rsidRPr="0018406F">
        <w:rPr>
          <w:rFonts w:ascii="Arial" w:eastAsia="Times New Roman" w:hAnsi="Arial" w:cs="Arial"/>
          <w:color w:val="000000"/>
          <w:sz w:val="24"/>
          <w:szCs w:val="24"/>
        </w:rPr>
        <w:t>Week 1 Lecture 5</w:t>
      </w:r>
      <w:r w:rsidRPr="00B17A1D">
        <w:rPr>
          <w:rFonts w:ascii="Arial" w:eastAsia="Times New Roman" w:hAnsi="Arial" w:cs="Arial"/>
          <w:color w:val="000000"/>
          <w:sz w:val="24"/>
          <w:szCs w:val="24"/>
        </w:rPr>
        <w:t xml:space="preserve"> </w:t>
      </w:r>
      <w:r w:rsidRPr="0001187E">
        <w:rPr>
          <w:rFonts w:ascii="Arial" w:eastAsia="Times New Roman" w:hAnsi="Arial" w:cs="Arial"/>
          <w:sz w:val="24"/>
          <w:szCs w:val="24"/>
        </w:rPr>
        <w:t>Notes</w:t>
      </w:r>
      <w:r w:rsidR="0001187E" w:rsidRPr="0001187E">
        <w:rPr>
          <w:rFonts w:ascii="Arial" w:eastAsia="Times New Roman" w:hAnsi="Arial" w:cs="Arial"/>
          <w:sz w:val="24"/>
          <w:szCs w:val="24"/>
        </w:rPr>
        <w:t xml:space="preserve"> </w:t>
      </w:r>
      <w:hyperlink r:id="rId6" w:history="1">
        <w:r w:rsidR="0001187E" w:rsidRPr="0001187E">
          <w:rPr>
            <w:rStyle w:val="Hyperlink"/>
            <w:rFonts w:ascii="Arial" w:eastAsia="Calibri" w:hAnsi="Arial" w:cs="Arial"/>
            <w:color w:val="auto"/>
            <w:sz w:val="24"/>
            <w:szCs w:val="24"/>
            <w:u w:val="none"/>
          </w:rPr>
          <w:t>Treatment Models</w:t>
        </w:r>
      </w:hyperlink>
      <w:r w:rsidR="0001187E" w:rsidRPr="0001187E">
        <w:rPr>
          <w:rFonts w:ascii="Arial" w:eastAsia="Calibri" w:hAnsi="Arial" w:cs="Arial"/>
          <w:sz w:val="24"/>
          <w:szCs w:val="24"/>
        </w:rPr>
        <w:t xml:space="preserve"> </w:t>
      </w:r>
    </w:p>
    <w:p w:rsidR="0018406F" w:rsidRPr="0018406F" w:rsidRDefault="0018406F" w:rsidP="00B17A1D">
      <w:pPr>
        <w:spacing w:after="0" w:line="240" w:lineRule="auto"/>
        <w:rPr>
          <w:rFonts w:ascii="Times New Roman" w:eastAsia="Times New Roman" w:hAnsi="Times New Roman" w:cs="Times New Roman"/>
          <w:sz w:val="24"/>
          <w:szCs w:val="24"/>
        </w:rPr>
      </w:pPr>
      <w:r w:rsidRPr="0018406F">
        <w:rPr>
          <w:rFonts w:ascii="Times New Roman" w:eastAsia="Times New Roman" w:hAnsi="Times New Roman" w:cs="Times New Roman"/>
          <w:color w:val="000000"/>
          <w:sz w:val="24"/>
          <w:szCs w:val="24"/>
        </w:rPr>
        <w:br/>
      </w:r>
      <w:r w:rsidRPr="0018406F">
        <w:rPr>
          <w:rFonts w:ascii="Times New Roman" w:eastAsia="Times New Roman" w:hAnsi="Times New Roman" w:cs="Times New Roman"/>
          <w:color w:val="000000"/>
          <w:sz w:val="24"/>
          <w:szCs w:val="24"/>
        </w:rPr>
        <w:br/>
      </w:r>
    </w:p>
    <w:p w:rsidR="001F3C2D" w:rsidRDefault="0018406F" w:rsidP="00B17A1D">
      <w:pPr>
        <w:pStyle w:val="ListParagraph"/>
        <w:numPr>
          <w:ilvl w:val="0"/>
          <w:numId w:val="2"/>
        </w:numPr>
        <w:spacing w:after="0" w:line="240" w:lineRule="auto"/>
        <w:rPr>
          <w:rFonts w:ascii="Arial" w:eastAsia="Times New Roman" w:hAnsi="Arial" w:cs="Arial"/>
          <w:color w:val="000000"/>
          <w:sz w:val="24"/>
          <w:szCs w:val="24"/>
        </w:rPr>
      </w:pPr>
      <w:r w:rsidRPr="00B17A1D">
        <w:rPr>
          <w:rFonts w:ascii="Arial" w:eastAsia="Times New Roman" w:hAnsi="Arial" w:cs="Arial"/>
          <w:color w:val="000000"/>
          <w:sz w:val="24"/>
          <w:szCs w:val="24"/>
        </w:rPr>
        <w:t xml:space="preserve">Historically, there has been a divide between mental health and substance abuse treatment services. </w:t>
      </w:r>
    </w:p>
    <w:p w:rsidR="0001187E" w:rsidRPr="00B17A1D" w:rsidRDefault="0001187E" w:rsidP="0001187E">
      <w:pPr>
        <w:pStyle w:val="ListParagraph"/>
        <w:spacing w:after="0" w:line="240" w:lineRule="auto"/>
        <w:rPr>
          <w:rFonts w:ascii="Arial" w:eastAsia="Times New Roman" w:hAnsi="Arial" w:cs="Arial"/>
          <w:color w:val="000000"/>
          <w:sz w:val="24"/>
          <w:szCs w:val="24"/>
        </w:rPr>
      </w:pPr>
      <w:bookmarkStart w:id="0" w:name="_GoBack"/>
      <w:bookmarkEnd w:id="0"/>
    </w:p>
    <w:p w:rsidR="0018406F" w:rsidRPr="00B17A1D" w:rsidRDefault="0018406F" w:rsidP="00B17A1D">
      <w:pPr>
        <w:pStyle w:val="ListParagraph"/>
        <w:numPr>
          <w:ilvl w:val="0"/>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 xml:space="preserve">Consequently, for many years two different treatment systems oversaw and provided separate services for each type of disorder. </w:t>
      </w:r>
    </w:p>
    <w:p w:rsidR="0018406F" w:rsidRPr="00B17A1D" w:rsidRDefault="0018406F" w:rsidP="00B17A1D">
      <w:pPr>
        <w:pStyle w:val="ListParagraph"/>
        <w:spacing w:after="0" w:line="240" w:lineRule="auto"/>
        <w:rPr>
          <w:rFonts w:ascii="Times New Roman" w:eastAsia="Times New Roman" w:hAnsi="Times New Roman" w:cs="Times New Roman"/>
          <w:sz w:val="24"/>
          <w:szCs w:val="24"/>
        </w:rPr>
      </w:pPr>
      <w:r w:rsidRPr="00B17A1D">
        <w:rPr>
          <w:rFonts w:ascii="Times New Roman" w:eastAsia="Times New Roman" w:hAnsi="Times New Roman" w:cs="Times New Roman"/>
          <w:color w:val="000000"/>
          <w:sz w:val="24"/>
          <w:szCs w:val="24"/>
        </w:rPr>
        <w:br/>
      </w:r>
    </w:p>
    <w:p w:rsidR="001F3C2D" w:rsidRPr="00B17A1D" w:rsidRDefault="0018406F" w:rsidP="00B17A1D">
      <w:pPr>
        <w:pStyle w:val="ListParagraph"/>
        <w:numPr>
          <w:ilvl w:val="0"/>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 xml:space="preserve">The </w:t>
      </w:r>
      <w:r w:rsidRPr="00B17A1D">
        <w:rPr>
          <w:rFonts w:ascii="Arial" w:eastAsia="Times New Roman" w:hAnsi="Arial" w:cs="Arial"/>
          <w:color w:val="000000"/>
          <w:sz w:val="24"/>
          <w:szCs w:val="24"/>
          <w:u w:val="single"/>
        </w:rPr>
        <w:t xml:space="preserve">sequential </w:t>
      </w:r>
      <w:r w:rsidR="001F3C2D" w:rsidRPr="00B17A1D">
        <w:rPr>
          <w:rFonts w:ascii="Arial" w:eastAsia="Times New Roman" w:hAnsi="Arial" w:cs="Arial"/>
          <w:color w:val="000000"/>
          <w:sz w:val="24"/>
          <w:szCs w:val="24"/>
          <w:u w:val="single"/>
        </w:rPr>
        <w:t>t</w:t>
      </w:r>
      <w:r w:rsidRPr="00B17A1D">
        <w:rPr>
          <w:rFonts w:ascii="Arial" w:eastAsia="Times New Roman" w:hAnsi="Arial" w:cs="Arial"/>
          <w:color w:val="000000"/>
          <w:sz w:val="24"/>
          <w:szCs w:val="24"/>
          <w:u w:val="single"/>
        </w:rPr>
        <w:t xml:space="preserve">reatment </w:t>
      </w:r>
      <w:r w:rsidR="001F3C2D" w:rsidRPr="00B17A1D">
        <w:rPr>
          <w:rFonts w:ascii="Arial" w:eastAsia="Times New Roman" w:hAnsi="Arial" w:cs="Arial"/>
          <w:color w:val="000000"/>
          <w:sz w:val="24"/>
          <w:szCs w:val="24"/>
          <w:u w:val="single"/>
        </w:rPr>
        <w:t>A</w:t>
      </w:r>
      <w:r w:rsidRPr="00B17A1D">
        <w:rPr>
          <w:rFonts w:ascii="Arial" w:eastAsia="Times New Roman" w:hAnsi="Arial" w:cs="Arial"/>
          <w:color w:val="000000"/>
          <w:sz w:val="24"/>
          <w:szCs w:val="24"/>
          <w:u w:val="single"/>
        </w:rPr>
        <w:t>pproach</w:t>
      </w:r>
      <w:r w:rsidR="001F3C2D" w:rsidRPr="00B17A1D">
        <w:rPr>
          <w:rFonts w:ascii="Arial" w:eastAsia="Times New Roman" w:hAnsi="Arial" w:cs="Arial"/>
          <w:color w:val="000000"/>
          <w:sz w:val="24"/>
          <w:szCs w:val="24"/>
        </w:rPr>
        <w:t xml:space="preserve">: </w:t>
      </w:r>
      <w:r w:rsidRPr="00B17A1D">
        <w:rPr>
          <w:rFonts w:ascii="Arial" w:eastAsia="Times New Roman" w:hAnsi="Arial" w:cs="Arial"/>
          <w:color w:val="000000"/>
          <w:sz w:val="24"/>
          <w:szCs w:val="24"/>
        </w:rPr>
        <w:t xml:space="preserve">the client With the </w:t>
      </w:r>
      <w:r w:rsidR="001F3C2D" w:rsidRPr="00B17A1D">
        <w:rPr>
          <w:rFonts w:ascii="Arial" w:eastAsia="Times New Roman" w:hAnsi="Arial" w:cs="Arial"/>
          <w:color w:val="000000"/>
          <w:sz w:val="24"/>
          <w:szCs w:val="24"/>
        </w:rPr>
        <w:t>c</w:t>
      </w:r>
      <w:r w:rsidRPr="00B17A1D">
        <w:rPr>
          <w:rFonts w:ascii="Arial" w:eastAsia="Times New Roman" w:hAnsi="Arial" w:cs="Arial"/>
          <w:color w:val="000000"/>
          <w:sz w:val="24"/>
          <w:szCs w:val="24"/>
        </w:rPr>
        <w:t xml:space="preserve">o-occurring disorder Is not eligible </w:t>
      </w:r>
      <w:r w:rsidR="001F3C2D" w:rsidRPr="00B17A1D">
        <w:rPr>
          <w:rFonts w:ascii="Arial" w:eastAsia="Times New Roman" w:hAnsi="Arial" w:cs="Arial"/>
          <w:color w:val="000000"/>
          <w:sz w:val="24"/>
          <w:szCs w:val="24"/>
        </w:rPr>
        <w:t>f</w:t>
      </w:r>
      <w:r w:rsidRPr="00B17A1D">
        <w:rPr>
          <w:rFonts w:ascii="Arial" w:eastAsia="Times New Roman" w:hAnsi="Arial" w:cs="Arial"/>
          <w:color w:val="000000"/>
          <w:sz w:val="24"/>
          <w:szCs w:val="24"/>
        </w:rPr>
        <w:t xml:space="preserve">or treatment In one part of the system </w:t>
      </w:r>
      <w:r w:rsidR="001F3C2D" w:rsidRPr="00B17A1D">
        <w:rPr>
          <w:rFonts w:ascii="Arial" w:eastAsia="Times New Roman" w:hAnsi="Arial" w:cs="Arial"/>
          <w:color w:val="000000"/>
          <w:sz w:val="24"/>
          <w:szCs w:val="24"/>
        </w:rPr>
        <w:t>u</w:t>
      </w:r>
      <w:r w:rsidRPr="00B17A1D">
        <w:rPr>
          <w:rFonts w:ascii="Arial" w:eastAsia="Times New Roman" w:hAnsi="Arial" w:cs="Arial"/>
          <w:color w:val="000000"/>
          <w:sz w:val="24"/>
          <w:szCs w:val="24"/>
        </w:rPr>
        <w:t xml:space="preserve">ntil the </w:t>
      </w:r>
      <w:r w:rsidR="001F3C2D" w:rsidRPr="00B17A1D">
        <w:rPr>
          <w:rFonts w:ascii="Arial" w:eastAsia="Times New Roman" w:hAnsi="Arial" w:cs="Arial"/>
          <w:color w:val="000000"/>
          <w:sz w:val="24"/>
          <w:szCs w:val="24"/>
        </w:rPr>
        <w:t>o</w:t>
      </w:r>
      <w:r w:rsidRPr="00B17A1D">
        <w:rPr>
          <w:rFonts w:ascii="Arial" w:eastAsia="Times New Roman" w:hAnsi="Arial" w:cs="Arial"/>
          <w:color w:val="000000"/>
          <w:sz w:val="24"/>
          <w:szCs w:val="24"/>
        </w:rPr>
        <w:t xml:space="preserve">ther </w:t>
      </w:r>
      <w:r w:rsidR="001F3C2D" w:rsidRPr="00B17A1D">
        <w:rPr>
          <w:rFonts w:ascii="Arial" w:eastAsia="Times New Roman" w:hAnsi="Arial" w:cs="Arial"/>
          <w:color w:val="000000"/>
          <w:sz w:val="24"/>
          <w:szCs w:val="24"/>
        </w:rPr>
        <w:t>p</w:t>
      </w:r>
      <w:r w:rsidRPr="00B17A1D">
        <w:rPr>
          <w:rFonts w:ascii="Arial" w:eastAsia="Times New Roman" w:hAnsi="Arial" w:cs="Arial"/>
          <w:color w:val="000000"/>
          <w:sz w:val="24"/>
          <w:szCs w:val="24"/>
        </w:rPr>
        <w:t xml:space="preserve">roblem is resolved or stabilized. </w:t>
      </w:r>
    </w:p>
    <w:p w:rsidR="0018406F" w:rsidRPr="00B17A1D" w:rsidRDefault="001F3C2D" w:rsidP="00B17A1D">
      <w:pPr>
        <w:pStyle w:val="ListParagraph"/>
        <w:numPr>
          <w:ilvl w:val="1"/>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 xml:space="preserve">The most common problem is that clients are either never referred for other treatment or when they are </w:t>
      </w:r>
      <w:proofErr w:type="gramStart"/>
      <w:r w:rsidRPr="00B17A1D">
        <w:rPr>
          <w:rFonts w:ascii="Arial" w:eastAsia="Times New Roman" w:hAnsi="Arial" w:cs="Arial"/>
          <w:color w:val="000000"/>
          <w:sz w:val="24"/>
          <w:szCs w:val="24"/>
        </w:rPr>
        <w:t>referred</w:t>
      </w:r>
      <w:proofErr w:type="gramEnd"/>
      <w:r w:rsidRPr="00B17A1D">
        <w:rPr>
          <w:rFonts w:ascii="Arial" w:eastAsia="Times New Roman" w:hAnsi="Arial" w:cs="Arial"/>
          <w:color w:val="000000"/>
          <w:sz w:val="24"/>
          <w:szCs w:val="24"/>
        </w:rPr>
        <w:t xml:space="preserve"> they fail to follow through. </w:t>
      </w:r>
    </w:p>
    <w:p w:rsidR="00B17A1D" w:rsidRPr="00B17A1D" w:rsidRDefault="00B17A1D" w:rsidP="00B17A1D">
      <w:pPr>
        <w:pStyle w:val="ListParagraph"/>
        <w:spacing w:after="0" w:line="240" w:lineRule="auto"/>
        <w:ind w:left="1440"/>
        <w:rPr>
          <w:rFonts w:ascii="Times New Roman" w:eastAsia="Times New Roman" w:hAnsi="Times New Roman" w:cs="Times New Roman"/>
          <w:color w:val="000000"/>
          <w:sz w:val="24"/>
          <w:szCs w:val="24"/>
        </w:rPr>
      </w:pPr>
    </w:p>
    <w:p w:rsidR="001F3C2D" w:rsidRPr="00B17A1D" w:rsidRDefault="001F3C2D" w:rsidP="00B17A1D">
      <w:pPr>
        <w:pStyle w:val="ListParagraph"/>
        <w:numPr>
          <w:ilvl w:val="0"/>
          <w:numId w:val="2"/>
        </w:numPr>
        <w:spacing w:after="0" w:line="240" w:lineRule="auto"/>
        <w:rPr>
          <w:rFonts w:ascii="Arial" w:eastAsia="Times New Roman" w:hAnsi="Arial" w:cs="Arial"/>
          <w:color w:val="000000"/>
          <w:sz w:val="24"/>
          <w:szCs w:val="24"/>
        </w:rPr>
      </w:pPr>
      <w:r w:rsidRPr="00B17A1D">
        <w:rPr>
          <w:rFonts w:ascii="Arial" w:eastAsia="Times New Roman" w:hAnsi="Arial" w:cs="Arial"/>
          <w:color w:val="000000"/>
          <w:sz w:val="24"/>
          <w:szCs w:val="24"/>
        </w:rPr>
        <w:t xml:space="preserve">The </w:t>
      </w:r>
      <w:r w:rsidRPr="00B17A1D">
        <w:rPr>
          <w:rFonts w:ascii="Arial" w:eastAsia="Times New Roman" w:hAnsi="Arial" w:cs="Arial"/>
          <w:color w:val="000000"/>
          <w:sz w:val="24"/>
          <w:szCs w:val="24"/>
          <w:u w:val="single"/>
        </w:rPr>
        <w:t>parallel treatment approach</w:t>
      </w:r>
      <w:r w:rsidRPr="00B17A1D">
        <w:rPr>
          <w:rFonts w:ascii="Arial" w:eastAsia="Times New Roman" w:hAnsi="Arial" w:cs="Arial"/>
          <w:color w:val="000000"/>
          <w:sz w:val="24"/>
          <w:szCs w:val="24"/>
        </w:rPr>
        <w:t xml:space="preserve">: </w:t>
      </w:r>
      <w:proofErr w:type="spellStart"/>
      <w:r w:rsidRPr="00B17A1D">
        <w:rPr>
          <w:rFonts w:ascii="Arial" w:eastAsia="Times New Roman" w:hAnsi="Arial" w:cs="Arial"/>
          <w:color w:val="000000"/>
          <w:sz w:val="24"/>
          <w:szCs w:val="24"/>
        </w:rPr>
        <w:t>Mmental</w:t>
      </w:r>
      <w:proofErr w:type="spellEnd"/>
      <w:r w:rsidRPr="00B17A1D">
        <w:rPr>
          <w:rFonts w:ascii="Arial" w:eastAsia="Times New Roman" w:hAnsi="Arial" w:cs="Arial"/>
          <w:color w:val="000000"/>
          <w:sz w:val="24"/>
          <w:szCs w:val="24"/>
        </w:rPr>
        <w:t xml:space="preserve"> health and substance use disorders are treated concurrently by different providers often working in different agencies but sometimes within the same agency. </w:t>
      </w:r>
    </w:p>
    <w:p w:rsidR="0018406F" w:rsidRPr="00B17A1D" w:rsidRDefault="001F3C2D" w:rsidP="00B17A1D">
      <w:pPr>
        <w:pStyle w:val="ListParagraph"/>
        <w:numPr>
          <w:ilvl w:val="1"/>
          <w:numId w:val="2"/>
        </w:numPr>
        <w:spacing w:after="0" w:line="240" w:lineRule="auto"/>
        <w:rPr>
          <w:rFonts w:ascii="Times New Roman" w:eastAsia="Times New Roman" w:hAnsi="Times New Roman" w:cs="Times New Roman"/>
          <w:sz w:val="24"/>
          <w:szCs w:val="24"/>
        </w:rPr>
      </w:pPr>
      <w:r w:rsidRPr="00B17A1D">
        <w:rPr>
          <w:rFonts w:ascii="Arial" w:eastAsia="Times New Roman" w:hAnsi="Arial" w:cs="Arial"/>
          <w:color w:val="000000"/>
          <w:sz w:val="24"/>
          <w:szCs w:val="24"/>
        </w:rPr>
        <w:t>In many cases there is little contact between mental health and substance abuse clinicians. consequently, the burden of integration is placed on the client.</w:t>
      </w:r>
    </w:p>
    <w:p w:rsidR="00B17A1D" w:rsidRPr="00B17A1D" w:rsidRDefault="00B17A1D" w:rsidP="00B17A1D">
      <w:pPr>
        <w:pStyle w:val="ListParagraph"/>
        <w:spacing w:after="0" w:line="240" w:lineRule="auto"/>
        <w:ind w:left="1440"/>
        <w:rPr>
          <w:rFonts w:ascii="Times New Roman" w:eastAsia="Times New Roman" w:hAnsi="Times New Roman" w:cs="Times New Roman"/>
          <w:sz w:val="24"/>
          <w:szCs w:val="24"/>
        </w:rPr>
      </w:pPr>
    </w:p>
    <w:p w:rsidR="0018406F" w:rsidRPr="00B17A1D" w:rsidRDefault="001F3C2D" w:rsidP="00B17A1D">
      <w:pPr>
        <w:pStyle w:val="ListParagraph"/>
        <w:numPr>
          <w:ilvl w:val="0"/>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 xml:space="preserve">Integrated treatment: Most effective model. Within an integrated approach, both mental health and substance abuse services are provided by the same team, and often by the same provider if they are dually licensed. </w:t>
      </w:r>
      <w:r w:rsidR="0018406F" w:rsidRPr="00B17A1D">
        <w:rPr>
          <w:rFonts w:ascii="Times New Roman" w:eastAsia="Times New Roman" w:hAnsi="Times New Roman" w:cs="Times New Roman"/>
          <w:color w:val="000000"/>
          <w:sz w:val="24"/>
          <w:szCs w:val="24"/>
        </w:rPr>
        <w:br/>
      </w:r>
    </w:p>
    <w:p w:rsidR="001F3C2D" w:rsidRDefault="0018406F" w:rsidP="00B17A1D">
      <w:pPr>
        <w:pStyle w:val="ListParagraph"/>
        <w:numPr>
          <w:ilvl w:val="0"/>
          <w:numId w:val="2"/>
        </w:numPr>
        <w:spacing w:after="0" w:line="240" w:lineRule="auto"/>
        <w:rPr>
          <w:rFonts w:ascii="Arial" w:eastAsia="Times New Roman" w:hAnsi="Arial" w:cs="Arial"/>
          <w:color w:val="000000"/>
          <w:sz w:val="24"/>
          <w:szCs w:val="24"/>
        </w:rPr>
      </w:pPr>
      <w:r w:rsidRPr="00B17A1D">
        <w:rPr>
          <w:rFonts w:ascii="Arial" w:eastAsia="Times New Roman" w:hAnsi="Arial" w:cs="Arial"/>
          <w:color w:val="000000"/>
          <w:sz w:val="24"/>
          <w:szCs w:val="24"/>
        </w:rPr>
        <w:t xml:space="preserve">Of the 47.6 million adults with any past-year mental illness, more than half (56.7 percent) received no treatment, and over one-third (35.9 percent) of adults with an SMI in the past year received no treatment. </w:t>
      </w:r>
    </w:p>
    <w:p w:rsidR="0001187E" w:rsidRPr="00B17A1D" w:rsidRDefault="0001187E" w:rsidP="0001187E">
      <w:pPr>
        <w:pStyle w:val="ListParagraph"/>
        <w:spacing w:after="0" w:line="240" w:lineRule="auto"/>
        <w:rPr>
          <w:rFonts w:ascii="Arial" w:eastAsia="Times New Roman" w:hAnsi="Arial" w:cs="Arial"/>
          <w:color w:val="000000"/>
          <w:sz w:val="24"/>
          <w:szCs w:val="24"/>
        </w:rPr>
      </w:pPr>
    </w:p>
    <w:p w:rsidR="00B17A1D" w:rsidRPr="0001187E" w:rsidRDefault="001F3C2D" w:rsidP="00B17A1D">
      <w:pPr>
        <w:pStyle w:val="ListParagraph"/>
        <w:numPr>
          <w:ilvl w:val="0"/>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 xml:space="preserve">Nearly </w:t>
      </w:r>
      <w:r w:rsidR="0018406F" w:rsidRPr="00B17A1D">
        <w:rPr>
          <w:rFonts w:ascii="Arial" w:eastAsia="Times New Roman" w:hAnsi="Arial" w:cs="Arial"/>
          <w:color w:val="000000"/>
          <w:sz w:val="24"/>
          <w:szCs w:val="24"/>
        </w:rPr>
        <w:t>all (more than 90 percent) of the 9.2 million adults with both a past-year mental illness and SUD did not receive services for both conditions.</w:t>
      </w:r>
    </w:p>
    <w:p w:rsidR="0001187E" w:rsidRPr="0001187E" w:rsidRDefault="0001187E" w:rsidP="0001187E">
      <w:pPr>
        <w:pStyle w:val="ListParagraph"/>
        <w:rPr>
          <w:rFonts w:ascii="Times New Roman" w:eastAsia="Times New Roman" w:hAnsi="Times New Roman" w:cs="Times New Roman"/>
          <w:color w:val="000000"/>
          <w:sz w:val="24"/>
          <w:szCs w:val="24"/>
        </w:rPr>
      </w:pPr>
    </w:p>
    <w:p w:rsidR="0001187E" w:rsidRPr="00B17A1D" w:rsidRDefault="0001187E" w:rsidP="0001187E">
      <w:pPr>
        <w:pStyle w:val="ListParagraph"/>
        <w:spacing w:after="0" w:line="240" w:lineRule="auto"/>
        <w:rPr>
          <w:rFonts w:ascii="Times New Roman" w:eastAsia="Times New Roman" w:hAnsi="Times New Roman" w:cs="Times New Roman"/>
          <w:color w:val="000000"/>
          <w:sz w:val="24"/>
          <w:szCs w:val="24"/>
        </w:rPr>
      </w:pPr>
    </w:p>
    <w:p w:rsidR="0018406F" w:rsidRPr="00B17A1D" w:rsidRDefault="0018406F" w:rsidP="00B17A1D">
      <w:pPr>
        <w:pStyle w:val="ListParagraph"/>
        <w:numPr>
          <w:ilvl w:val="0"/>
          <w:numId w:val="2"/>
        </w:numPr>
        <w:spacing w:after="0" w:line="240" w:lineRule="auto"/>
        <w:rPr>
          <w:rFonts w:ascii="Times New Roman" w:eastAsia="Times New Roman" w:hAnsi="Times New Roman" w:cs="Times New Roman"/>
          <w:color w:val="000000"/>
          <w:sz w:val="24"/>
          <w:szCs w:val="24"/>
        </w:rPr>
      </w:pPr>
      <w:r w:rsidRPr="00B17A1D">
        <w:rPr>
          <w:rFonts w:ascii="Arial" w:eastAsia="Times New Roman" w:hAnsi="Arial" w:cs="Arial"/>
          <w:color w:val="000000"/>
          <w:sz w:val="24"/>
          <w:szCs w:val="24"/>
        </w:rPr>
        <w:t>In 2018, most SUD treatment facilities surveyed through the National Survey of Substance Abuse Treatment Services (99.8 percent) reported having clients in treatment with a diagnosed COD (SAMHSA, 2019b). However, only 50 percent of the facilities indicated that they provided specifically tailored programs or group treatments for clients with CODs.</w:t>
      </w:r>
    </w:p>
    <w:p w:rsidR="0018406F" w:rsidRPr="0018406F" w:rsidRDefault="0018406F" w:rsidP="00B17A1D">
      <w:pPr>
        <w:spacing w:line="240" w:lineRule="auto"/>
        <w:ind w:firstLine="60"/>
        <w:rPr>
          <w:rFonts w:ascii="Times New Roman" w:eastAsia="Times New Roman" w:hAnsi="Times New Roman" w:cs="Times New Roman"/>
          <w:color w:val="000000"/>
          <w:sz w:val="24"/>
          <w:szCs w:val="24"/>
        </w:rPr>
      </w:pPr>
    </w:p>
    <w:p w:rsidR="0078527E" w:rsidRDefault="0018406F" w:rsidP="0001187E">
      <w:pPr>
        <w:spacing w:after="0" w:line="240" w:lineRule="auto"/>
      </w:pPr>
      <w:r w:rsidRPr="0001187E">
        <w:rPr>
          <w:rFonts w:ascii="Times New Roman" w:eastAsia="Times New Roman" w:hAnsi="Times New Roman" w:cs="Times New Roman"/>
          <w:color w:val="000000"/>
          <w:sz w:val="24"/>
          <w:szCs w:val="24"/>
        </w:rPr>
        <w:br/>
      </w:r>
    </w:p>
    <w:sectPr w:rsidR="0078527E" w:rsidSect="00675F4C">
      <w:pgSz w:w="12240" w:h="15840" w:code="1"/>
      <w:pgMar w:top="864"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6D45"/>
    <w:multiLevelType w:val="hybridMultilevel"/>
    <w:tmpl w:val="77C4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3D33C3"/>
    <w:multiLevelType w:val="hybridMultilevel"/>
    <w:tmpl w:val="20DC1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0F"/>
    <w:rsid w:val="0001187E"/>
    <w:rsid w:val="0018406F"/>
    <w:rsid w:val="001F3C2D"/>
    <w:rsid w:val="00675F4C"/>
    <w:rsid w:val="0078527E"/>
    <w:rsid w:val="00940A0F"/>
    <w:rsid w:val="00B17A1D"/>
    <w:rsid w:val="00FD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735C"/>
  <w15:chartTrackingRefBased/>
  <w15:docId w15:val="{F8914F92-B740-483D-B977-60E93DD1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46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460F"/>
    <w:pPr>
      <w:ind w:left="720"/>
      <w:contextualSpacing/>
    </w:pPr>
  </w:style>
  <w:style w:type="character" w:styleId="Hyperlink">
    <w:name w:val="Hyperlink"/>
    <w:uiPriority w:val="99"/>
    <w:semiHidden/>
    <w:unhideWhenUsed/>
    <w:rsid w:val="000118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21672">
      <w:bodyDiv w:val="1"/>
      <w:marLeft w:val="0"/>
      <w:marRight w:val="0"/>
      <w:marTop w:val="0"/>
      <w:marBottom w:val="0"/>
      <w:divBdr>
        <w:top w:val="none" w:sz="0" w:space="0" w:color="auto"/>
        <w:left w:val="none" w:sz="0" w:space="0" w:color="auto"/>
        <w:bottom w:val="none" w:sz="0" w:space="0" w:color="auto"/>
        <w:right w:val="none" w:sz="0" w:space="0" w:color="auto"/>
      </w:divBdr>
    </w:div>
    <w:div w:id="55346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qEiFA2Ef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EF45-FDFE-47D4-9BD9-0D54EF5D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Scobie, Brent</dc:creator>
  <cp:keywords/>
  <dc:description/>
  <cp:lastModifiedBy>Scobie, Brent</cp:lastModifiedBy>
  <cp:revision>2</cp:revision>
  <dcterms:created xsi:type="dcterms:W3CDTF">2020-04-20T20:01:00Z</dcterms:created>
  <dcterms:modified xsi:type="dcterms:W3CDTF">2020-04-20T20:01:00Z</dcterms:modified>
</cp:coreProperties>
</file>